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5A7" w:rsidRPr="00805B1F" w:rsidRDefault="007A75A7" w:rsidP="007A75A7">
      <w:pPr>
        <w:suppressLineNumbers/>
      </w:pPr>
    </w:p>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7A75A7" w:rsidRPr="00805B1F" w:rsidTr="005E34E3">
        <w:tc>
          <w:tcPr>
            <w:tcW w:w="3246" w:type="dxa"/>
          </w:tcPr>
          <w:p w:rsidR="007A75A7" w:rsidRPr="00805B1F" w:rsidRDefault="007A75A7" w:rsidP="005E34E3">
            <w:pPr>
              <w:suppressLineNumbers/>
              <w:jc w:val="left"/>
              <w:rPr>
                <w:rFonts w:ascii="David" w:eastAsia="David" w:hAnsi="David" w:cs="David"/>
                <w:b/>
                <w:bCs/>
                <w:rtl/>
              </w:rPr>
            </w:pPr>
          </w:p>
          <w:p w:rsidR="007A75A7" w:rsidRPr="00805B1F" w:rsidRDefault="007A75A7" w:rsidP="005E34E3">
            <w:pPr>
              <w:suppressLineNumbers/>
              <w:jc w:val="left"/>
              <w:rPr>
                <w:rFonts w:ascii="David" w:eastAsia="David" w:hAnsi="David" w:cs="David"/>
                <w:b/>
                <w:bCs/>
                <w:rtl/>
              </w:rPr>
            </w:pPr>
            <w:r w:rsidRPr="001749C4">
              <w:rPr>
                <w:rFonts w:ascii="David" w:eastAsia="David" w:hAnsi="David" w:cs="David"/>
                <w:b/>
                <w:bCs/>
                <w:u w:val="double"/>
                <w:rtl/>
              </w:rPr>
              <w:t>ה</w:t>
            </w:r>
            <w:sdt>
              <w:sdtPr>
                <w:rPr>
                  <w:b/>
                  <w:bCs/>
                  <w:u w:val="double"/>
                  <w:rtl/>
                </w:rPr>
                <w:alias w:val="1264"/>
                <w:tag w:val="1264"/>
                <w:id w:val="748628538"/>
                <w:placeholder>
                  <w:docPart w:val="F7716BE313F143D8AA8257098675A3E3"/>
                </w:placeholder>
                <w:text w:multiLine="1"/>
              </w:sdtPr>
              <w:sdtEndPr/>
              <w:sdtContent>
                <w:r w:rsidRPr="001749C4">
                  <w:rPr>
                    <w:rFonts w:ascii="David" w:eastAsia="David" w:hAnsi="David" w:cs="David"/>
                    <w:b/>
                    <w:bCs/>
                    <w:u w:val="double"/>
                    <w:rtl/>
                  </w:rPr>
                  <w:t>מבקשים</w:t>
                </w:r>
                <w:r w:rsidRPr="001749C4">
                  <w:rPr>
                    <w:rFonts w:hint="cs"/>
                    <w:b/>
                    <w:bCs/>
                    <w:u w:val="double"/>
                    <w:rtl/>
                  </w:rPr>
                  <w:t>:</w:t>
                </w:r>
              </w:sdtContent>
            </w:sdt>
          </w:p>
        </w:tc>
        <w:tc>
          <w:tcPr>
            <w:tcW w:w="5734" w:type="dxa"/>
          </w:tcPr>
          <w:p w:rsidR="007A75A7" w:rsidRPr="008424EA" w:rsidRDefault="007A75A7" w:rsidP="005E34E3">
            <w:pPr>
              <w:suppressLineNumbers/>
              <w:jc w:val="left"/>
              <w:rPr>
                <w:b/>
                <w:bCs/>
                <w:rtl/>
              </w:rPr>
            </w:pPr>
          </w:p>
          <w:p w:rsidR="007A75A7" w:rsidRPr="008424EA" w:rsidRDefault="003822C0" w:rsidP="00C00351">
            <w:pPr>
              <w:suppressLineNumbers/>
              <w:jc w:val="left"/>
            </w:pPr>
            <w:sdt>
              <w:sdtPr>
                <w:rPr>
                  <w:b/>
                  <w:bCs/>
                  <w:rtl/>
                </w:rPr>
                <w:alias w:val="828"/>
                <w:tag w:val="828"/>
                <w:id w:val="1526603318"/>
                <w:placeholder>
                  <w:docPart w:val="C808E2DFB45F482CBFD9EBB0C5213E83"/>
                </w:placeholder>
                <w:text w:multiLine="1"/>
              </w:sdtPr>
              <w:sdtEndPr/>
              <w:sdtContent>
                <w:r w:rsidR="007A75A7">
                  <w:rPr>
                    <w:rFonts w:ascii="David" w:eastAsia="David" w:hAnsi="David" w:cs="David"/>
                    <w:b/>
                    <w:bCs/>
                  </w:rPr>
                  <w:t>.1</w:t>
                </w:r>
              </w:sdtContent>
            </w:sdt>
            <w:r w:rsidR="007A75A7" w:rsidRPr="008424EA">
              <w:rPr>
                <w:rFonts w:ascii="David" w:eastAsia="David" w:hAnsi="David" w:cs="David"/>
                <w:b/>
                <w:bCs/>
                <w:rtl/>
              </w:rPr>
              <w:t xml:space="preserve"> </w:t>
            </w:r>
            <w:sdt>
              <w:sdtPr>
                <w:rPr>
                  <w:b/>
                  <w:bCs/>
                  <w:rtl/>
                </w:rPr>
                <w:alias w:val="825"/>
                <w:tag w:val="825"/>
                <w:id w:val="-1404140937"/>
                <w:placeholder>
                  <w:docPart w:val="4435D3A963AC4A0C8DCA346E72CD646B"/>
                </w:placeholder>
                <w:text w:multiLine="1"/>
              </w:sdtPr>
              <w:sdtEndPr/>
              <w:sdtContent>
                <w:r w:rsidR="00C00351">
                  <w:rPr>
                    <w:rFonts w:ascii="David" w:eastAsia="David" w:hAnsi="David" w:cs="David"/>
                    <w:b/>
                    <w:bCs/>
                    <w:rtl/>
                  </w:rPr>
                  <w:t>ו</w:t>
                </w:r>
                <w:r w:rsidR="00C00351">
                  <w:rPr>
                    <w:rFonts w:ascii="David" w:eastAsia="David" w:hAnsi="David" w:cs="David" w:hint="cs"/>
                    <w:b/>
                    <w:bCs/>
                    <w:rtl/>
                  </w:rPr>
                  <w:t>.</w:t>
                </w:r>
                <w:r w:rsidR="00C00351">
                  <w:rPr>
                    <w:rFonts w:ascii="David" w:eastAsia="David" w:hAnsi="David" w:cs="David"/>
                    <w:b/>
                    <w:bCs/>
                    <w:rtl/>
                  </w:rPr>
                  <w:t xml:space="preserve"> ר</w:t>
                </w:r>
                <w:r w:rsidR="00C00351">
                  <w:rPr>
                    <w:rFonts w:ascii="David" w:eastAsia="David" w:hAnsi="David" w:cs="David" w:hint="cs"/>
                    <w:b/>
                    <w:bCs/>
                    <w:rtl/>
                  </w:rPr>
                  <w:t>.</w:t>
                </w:r>
              </w:sdtContent>
            </w:sdt>
          </w:p>
          <w:p w:rsidR="007A75A7" w:rsidRPr="008424EA" w:rsidRDefault="003822C0" w:rsidP="00C00351">
            <w:pPr>
              <w:suppressLineNumbers/>
              <w:jc w:val="left"/>
            </w:pPr>
            <w:sdt>
              <w:sdtPr>
                <w:rPr>
                  <w:b/>
                  <w:bCs/>
                  <w:rtl/>
                </w:rPr>
                <w:alias w:val="828"/>
                <w:tag w:val="828"/>
                <w:id w:val="-722754071"/>
                <w:placeholder>
                  <w:docPart w:val="C808E2DFB45F482CBFD9EBB0C5213E83"/>
                </w:placeholder>
                <w:text w:multiLine="1"/>
              </w:sdtPr>
              <w:sdtEndPr/>
              <w:sdtContent>
                <w:r w:rsidR="007A75A7">
                  <w:rPr>
                    <w:rFonts w:ascii="David" w:eastAsia="David" w:hAnsi="David" w:cs="David"/>
                    <w:b/>
                    <w:bCs/>
                  </w:rPr>
                  <w:t>.2</w:t>
                </w:r>
              </w:sdtContent>
            </w:sdt>
            <w:r w:rsidR="007A75A7" w:rsidRPr="008424EA">
              <w:rPr>
                <w:rFonts w:ascii="David" w:eastAsia="David" w:hAnsi="David" w:cs="David"/>
                <w:b/>
                <w:bCs/>
                <w:rtl/>
              </w:rPr>
              <w:t xml:space="preserve"> </w:t>
            </w:r>
            <w:sdt>
              <w:sdtPr>
                <w:rPr>
                  <w:b/>
                  <w:bCs/>
                  <w:rtl/>
                </w:rPr>
                <w:alias w:val="825"/>
                <w:tag w:val="825"/>
                <w:id w:val="-498044056"/>
                <w:placeholder>
                  <w:docPart w:val="4435D3A963AC4A0C8DCA346E72CD646B"/>
                </w:placeholder>
                <w:text w:multiLine="1"/>
              </w:sdtPr>
              <w:sdtEndPr/>
              <w:sdtContent>
                <w:r w:rsidR="00C00351">
                  <w:rPr>
                    <w:rFonts w:ascii="David" w:eastAsia="David" w:hAnsi="David" w:cs="David"/>
                    <w:b/>
                    <w:bCs/>
                    <w:rtl/>
                  </w:rPr>
                  <w:t>א</w:t>
                </w:r>
                <w:r w:rsidR="00C00351">
                  <w:rPr>
                    <w:rFonts w:ascii="David" w:eastAsia="David" w:hAnsi="David" w:cs="David" w:hint="cs"/>
                    <w:b/>
                    <w:bCs/>
                    <w:rtl/>
                  </w:rPr>
                  <w:t>.</w:t>
                </w:r>
                <w:r w:rsidR="00C00351">
                  <w:rPr>
                    <w:rFonts w:ascii="David" w:eastAsia="David" w:hAnsi="David" w:cs="David"/>
                    <w:b/>
                    <w:bCs/>
                    <w:rtl/>
                  </w:rPr>
                  <w:t xml:space="preserve"> ב</w:t>
                </w:r>
                <w:r w:rsidR="00C00351">
                  <w:rPr>
                    <w:rFonts w:ascii="David" w:eastAsia="David" w:hAnsi="David" w:cs="David" w:hint="cs"/>
                    <w:b/>
                    <w:bCs/>
                    <w:rtl/>
                  </w:rPr>
                  <w:t>.</w:t>
                </w:r>
                <w:r w:rsidR="00C00351">
                  <w:rPr>
                    <w:rFonts w:ascii="David" w:eastAsia="David" w:hAnsi="David" w:cs="David"/>
                    <w:b/>
                    <w:bCs/>
                    <w:rtl/>
                  </w:rPr>
                  <w:t xml:space="preserve"> ו</w:t>
                </w:r>
                <w:r w:rsidR="00C00351">
                  <w:rPr>
                    <w:rFonts w:ascii="David" w:eastAsia="David" w:hAnsi="David" w:cs="David" w:hint="cs"/>
                    <w:b/>
                    <w:bCs/>
                    <w:rtl/>
                  </w:rPr>
                  <w:t>.</w:t>
                </w:r>
              </w:sdtContent>
            </w:sdt>
          </w:p>
          <w:p w:rsidR="007A75A7" w:rsidRPr="008424EA" w:rsidRDefault="007A75A7" w:rsidP="00C00351">
            <w:pPr>
              <w:suppressLineNumbers/>
              <w:jc w:val="left"/>
            </w:pPr>
          </w:p>
        </w:tc>
      </w:tr>
      <w:tr w:rsidR="007A75A7" w:rsidRPr="00805B1F" w:rsidTr="005E34E3">
        <w:tc>
          <w:tcPr>
            <w:tcW w:w="8980" w:type="dxa"/>
            <w:gridSpan w:val="2"/>
          </w:tcPr>
          <w:p w:rsidR="007A75A7" w:rsidRPr="00805B1F" w:rsidRDefault="007A75A7" w:rsidP="005E34E3">
            <w:pPr>
              <w:suppressLineNumbers/>
              <w:jc w:val="left"/>
              <w:rPr>
                <w:rFonts w:ascii="David" w:eastAsia="David" w:hAnsi="David" w:cs="David"/>
                <w:b/>
                <w:bCs/>
                <w:rtl/>
              </w:rPr>
            </w:pPr>
          </w:p>
          <w:p w:rsidR="007A75A7" w:rsidRPr="00805B1F" w:rsidRDefault="007A75A7" w:rsidP="005E34E3">
            <w:pPr>
              <w:suppressLineNumbers/>
              <w:jc w:val="center"/>
              <w:rPr>
                <w:rFonts w:ascii="David" w:eastAsia="David" w:hAnsi="David" w:cs="David"/>
                <w:b/>
                <w:bCs/>
                <w:rtl/>
              </w:rPr>
            </w:pPr>
            <w:r w:rsidRPr="00805B1F">
              <w:rPr>
                <w:rFonts w:ascii="David" w:eastAsia="David" w:hAnsi="David" w:cs="David"/>
                <w:b/>
                <w:bCs/>
                <w:rtl/>
              </w:rPr>
              <w:t>נגד</w:t>
            </w:r>
          </w:p>
          <w:p w:rsidR="007A75A7" w:rsidRPr="00805B1F" w:rsidRDefault="007A75A7" w:rsidP="005E34E3">
            <w:pPr>
              <w:suppressLineNumbers/>
              <w:jc w:val="left"/>
              <w:rPr>
                <w:rFonts w:ascii="David" w:eastAsia="David" w:hAnsi="David" w:cs="David"/>
                <w:b/>
                <w:bCs/>
                <w:rtl/>
              </w:rPr>
            </w:pPr>
          </w:p>
        </w:tc>
      </w:tr>
      <w:tr w:rsidR="007A75A7" w:rsidRPr="00805B1F" w:rsidTr="005E34E3">
        <w:trPr>
          <w:trHeight w:val="740"/>
        </w:trPr>
        <w:tc>
          <w:tcPr>
            <w:tcW w:w="3246" w:type="dxa"/>
            <w:hideMark/>
          </w:tcPr>
          <w:p w:rsidR="007A75A7" w:rsidRPr="00805B1F" w:rsidRDefault="007A75A7" w:rsidP="005E34E3">
            <w:pPr>
              <w:suppressLineNumbers/>
              <w:jc w:val="left"/>
              <w:rPr>
                <w:rFonts w:ascii="David" w:eastAsia="David" w:hAnsi="David" w:cs="David"/>
                <w:b/>
                <w:bCs/>
                <w:rtl/>
              </w:rPr>
            </w:pPr>
            <w:r w:rsidRPr="001749C4">
              <w:rPr>
                <w:rFonts w:ascii="David" w:eastAsia="David" w:hAnsi="David" w:cs="David"/>
                <w:b/>
                <w:bCs/>
                <w:u w:val="double"/>
                <w:rtl/>
              </w:rPr>
              <w:t>ה</w:t>
            </w:r>
            <w:sdt>
              <w:sdtPr>
                <w:rPr>
                  <w:b/>
                  <w:bCs/>
                  <w:u w:val="double"/>
                  <w:rtl/>
                </w:rPr>
                <w:alias w:val="1265"/>
                <w:tag w:val="1265"/>
                <w:id w:val="15438151"/>
                <w:text/>
              </w:sdtPr>
              <w:sdtEndPr/>
              <w:sdtContent>
                <w:r w:rsidRPr="001749C4">
                  <w:rPr>
                    <w:rFonts w:ascii="David" w:eastAsia="David" w:hAnsi="David" w:cs="David"/>
                    <w:b/>
                    <w:bCs/>
                    <w:u w:val="double"/>
                    <w:rtl/>
                  </w:rPr>
                  <w:t>משיב</w:t>
                </w:r>
                <w:r w:rsidRPr="001749C4">
                  <w:rPr>
                    <w:rFonts w:ascii="David" w:eastAsia="David" w:hAnsi="David" w:cs="David" w:hint="cs"/>
                    <w:b/>
                    <w:bCs/>
                    <w:u w:val="double"/>
                    <w:rtl/>
                  </w:rPr>
                  <w:t>:</w:t>
                </w:r>
              </w:sdtContent>
            </w:sdt>
          </w:p>
        </w:tc>
        <w:tc>
          <w:tcPr>
            <w:tcW w:w="5734" w:type="dxa"/>
            <w:hideMark/>
          </w:tcPr>
          <w:p w:rsidR="007A75A7" w:rsidRPr="00805B1F" w:rsidRDefault="007A75A7" w:rsidP="005E34E3">
            <w:pPr>
              <w:suppressLineNumbers/>
              <w:jc w:val="left"/>
              <w:rPr>
                <w:rFonts w:ascii="David" w:eastAsia="David" w:hAnsi="David" w:cs="David"/>
                <w:b/>
                <w:bCs/>
                <w:rtl/>
              </w:rPr>
            </w:pPr>
            <w:r w:rsidRPr="00805B1F">
              <w:rPr>
                <w:rFonts w:ascii="David" w:eastAsia="David" w:hAnsi="David" w:cs="David"/>
                <w:b/>
                <w:bCs/>
                <w:rtl/>
              </w:rPr>
              <w:t xml:space="preserve"> </w:t>
            </w:r>
            <w:sdt>
              <w:sdtPr>
                <w:rPr>
                  <w:b/>
                  <w:bCs/>
                  <w:rtl/>
                </w:rPr>
                <w:alias w:val="1266"/>
                <w:tag w:val="1266"/>
                <w:id w:val="1865085449"/>
                <w:placeholder>
                  <w:docPart w:val="58502088338B44AB86B237467D72940F"/>
                </w:placeholder>
                <w:text w:multiLine="1"/>
              </w:sdtPr>
              <w:sdtEndPr/>
              <w:sdtContent>
                <w:r>
                  <w:rPr>
                    <w:rFonts w:ascii="David" w:eastAsia="David" w:hAnsi="David" w:cs="David"/>
                    <w:b/>
                    <w:bCs/>
                    <w:rtl/>
                  </w:rPr>
                  <w:t>היועץ המשפטי לממשלה</w:t>
                </w:r>
              </w:sdtContent>
            </w:sdt>
            <w:r w:rsidRPr="00805B1F">
              <w:rPr>
                <w:rFonts w:ascii="David" w:eastAsia="David" w:hAnsi="David" w:cs="David"/>
                <w:b/>
                <w:bCs/>
                <w:rtl/>
              </w:rPr>
              <w:t xml:space="preserve"> </w:t>
            </w:r>
            <w:sdt>
              <w:sdtPr>
                <w:rPr>
                  <w:b/>
                  <w:bCs/>
                  <w:rtl/>
                </w:rPr>
                <w:alias w:val="2687"/>
                <w:tag w:val="2687"/>
                <w:id w:val="512507375"/>
                <w:lock w:val="contentLocked"/>
                <w:placeholder>
                  <w:docPart w:val="B7125CAFFF8041FC948651E08EBF9887"/>
                </w:placeholder>
                <w:text w:multiLine="1"/>
              </w:sdtPr>
              <w:sdtEndPr/>
              <w:sdtContent>
                <w:r>
                  <w:rPr>
                    <w:rFonts w:ascii="David" w:eastAsia="David" w:hAnsi="David" w:cs="David"/>
                    <w:b/>
                    <w:bCs/>
                    <w:rtl/>
                  </w:rPr>
                  <w:t>משרדי ממשלה</w:t>
                </w:r>
              </w:sdtContent>
            </w:sdt>
            <w:r w:rsidRPr="00805B1F">
              <w:rPr>
                <w:rFonts w:ascii="David" w:eastAsia="David" w:hAnsi="David" w:cs="David"/>
                <w:b/>
                <w:bCs/>
                <w:rtl/>
              </w:rPr>
              <w:t xml:space="preserve">  </w:t>
            </w:r>
            <w:sdt>
              <w:sdtPr>
                <w:rPr>
                  <w:b/>
                  <w:bCs/>
                  <w:rtl/>
                </w:rPr>
                <w:alias w:val="2689"/>
                <w:tag w:val="2689"/>
                <w:id w:val="-1018153208"/>
                <w:lock w:val="contentLocked"/>
                <w:placeholder>
                  <w:docPart w:val="E51C734CCB2F45F98080FC6FB9ECAE5D"/>
                </w:placeholder>
                <w:text w:multiLine="1"/>
              </w:sdtPr>
              <w:sdtEndPr/>
              <w:sdtContent>
                <w:r>
                  <w:rPr>
                    <w:rFonts w:ascii="David" w:eastAsia="David" w:hAnsi="David" w:cs="David"/>
                    <w:b/>
                    <w:bCs/>
                    <w:rtl/>
                  </w:rPr>
                  <w:t>513442037</w:t>
                </w:r>
              </w:sdtContent>
            </w:sdt>
          </w:p>
        </w:tc>
      </w:tr>
    </w:tbl>
    <w:p w:rsidR="007A75A7" w:rsidRDefault="007A75A7" w:rsidP="007A75A7">
      <w:pPr>
        <w:jc w:val="both"/>
        <w:rPr>
          <w:rtl/>
        </w:rPr>
      </w:pPr>
    </w:p>
    <w:p w:rsidR="007A75A7" w:rsidRDefault="007A75A7" w:rsidP="007A75A7">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7A75A7" w:rsidRDefault="007A75A7" w:rsidP="007A75A7">
      <w:pPr>
        <w:pStyle w:val="a9"/>
        <w:numPr>
          <w:ilvl w:val="0"/>
          <w:numId w:val="1"/>
        </w:numPr>
        <w:spacing w:line="360" w:lineRule="auto"/>
        <w:jc w:val="both"/>
      </w:pPr>
      <w:r>
        <w:rPr>
          <w:rFonts w:hint="cs"/>
          <w:rtl/>
        </w:rPr>
        <w:t xml:space="preserve">ביום 4.4.2024 הניחו בפני שניים המחזיקים בתעודת זהות ישראלית, תובענה המבקשת </w:t>
      </w:r>
      <w:proofErr w:type="spellStart"/>
      <w:r>
        <w:rPr>
          <w:rFonts w:hint="cs"/>
          <w:rtl/>
        </w:rPr>
        <w:t>ליתן</w:t>
      </w:r>
      <w:proofErr w:type="spellEnd"/>
      <w:r>
        <w:rPr>
          <w:rFonts w:hint="cs"/>
          <w:rtl/>
        </w:rPr>
        <w:t xml:space="preserve"> צו הורות פסיקתי בשני קטינים אשר נולדו ביום 10.07.2023. </w:t>
      </w:r>
    </w:p>
    <w:p w:rsidR="007A75A7" w:rsidRDefault="007A75A7" w:rsidP="007A75A7">
      <w:pPr>
        <w:pStyle w:val="a9"/>
        <w:jc w:val="both"/>
      </w:pPr>
    </w:p>
    <w:p w:rsidR="007A75A7" w:rsidRDefault="007A75A7" w:rsidP="00C00351">
      <w:pPr>
        <w:pStyle w:val="a9"/>
        <w:numPr>
          <w:ilvl w:val="0"/>
          <w:numId w:val="1"/>
        </w:numPr>
        <w:spacing w:line="360" w:lineRule="auto"/>
        <w:jc w:val="both"/>
      </w:pPr>
      <w:r>
        <w:rPr>
          <w:rFonts w:hint="cs"/>
          <w:rtl/>
        </w:rPr>
        <w:t>בסעיף 2 לחלק השני של התובענה נאמר כי העתק מתעודות הזהות והעתק הדרכונים (ג</w:t>
      </w:r>
      <w:r w:rsidR="00C00351">
        <w:rPr>
          <w:rFonts w:hint="cs"/>
          <w:rtl/>
        </w:rPr>
        <w:t>...</w:t>
      </w:r>
      <w:r>
        <w:rPr>
          <w:rFonts w:hint="cs"/>
          <w:rtl/>
        </w:rPr>
        <w:t xml:space="preserve"> וישראלי) של התובעים מצורפים בפני.</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היום הבנתי כי התובעים טוע</w:t>
      </w:r>
      <w:r w:rsidR="00C00351">
        <w:rPr>
          <w:rFonts w:hint="cs"/>
          <w:rtl/>
        </w:rPr>
        <w:t>נים שהתובעת היא אזרחית של ג...</w:t>
      </w:r>
      <w:r>
        <w:rPr>
          <w:rFonts w:hint="cs"/>
          <w:rtl/>
        </w:rPr>
        <w:t xml:space="preserve"> ואילו התובע הוא תושב ארעי שלה. כך אמרו לי ב"כ התובעים ואני מאמין.</w:t>
      </w:r>
    </w:p>
    <w:p w:rsidR="007A75A7" w:rsidRDefault="007A75A7" w:rsidP="007A75A7">
      <w:pPr>
        <w:pStyle w:val="a9"/>
        <w:rPr>
          <w:rtl/>
        </w:rPr>
      </w:pPr>
    </w:p>
    <w:p w:rsidR="007A75A7" w:rsidRDefault="007A75A7" w:rsidP="00C00351">
      <w:pPr>
        <w:pStyle w:val="a9"/>
        <w:numPr>
          <w:ilvl w:val="0"/>
          <w:numId w:val="1"/>
        </w:numPr>
        <w:spacing w:line="360" w:lineRule="auto"/>
        <w:jc w:val="both"/>
      </w:pPr>
      <w:r>
        <w:rPr>
          <w:rFonts w:hint="cs"/>
          <w:rtl/>
        </w:rPr>
        <w:t>אין עורר כי התובע הוא בעל קשר גנטי לקטינים וכי הקטינים נולדו בא</w:t>
      </w:r>
      <w:r w:rsidR="00C00351">
        <w:rPr>
          <w:rFonts w:hint="cs"/>
          <w:rtl/>
        </w:rPr>
        <w:t>...</w:t>
      </w:r>
      <w:r>
        <w:rPr>
          <w:rFonts w:hint="cs"/>
          <w:rtl/>
        </w:rPr>
        <w:t xml:space="preserve"> כפרי של תרומ</w:t>
      </w:r>
      <w:r w:rsidR="00C00351">
        <w:rPr>
          <w:rFonts w:hint="cs"/>
          <w:rtl/>
        </w:rPr>
        <w:t>ת ביצית או ביציות ונכנסו לג...</w:t>
      </w:r>
      <w:r>
        <w:rPr>
          <w:rFonts w:hint="cs"/>
          <w:rtl/>
        </w:rPr>
        <w:t xml:space="preserve"> כפי שטוענים התובעים, על בסיס תעודת מעבר.</w:t>
      </w:r>
    </w:p>
    <w:p w:rsidR="007A75A7" w:rsidRDefault="007A75A7" w:rsidP="007A75A7">
      <w:pPr>
        <w:pStyle w:val="a9"/>
        <w:numPr>
          <w:ilvl w:val="0"/>
          <w:numId w:val="1"/>
        </w:numPr>
        <w:spacing w:line="360" w:lineRule="auto"/>
        <w:jc w:val="both"/>
      </w:pPr>
      <w:r>
        <w:rPr>
          <w:rFonts w:hint="cs"/>
          <w:rtl/>
        </w:rPr>
        <w:t>השניים שבפני מבקשים שגם ללא תסקיר אתן צו הורות פסיקתי המכיר בהורותם בקטינים ואומר, כי אותו חלק של היזקקות או אי היזקקות לתסקיר, הוא החלק השני בדיון שלנו ואם אגיע לכלל מסקנה כי יש צורך בתסקיר, תסקיר זה בכלל צריך להינתן לא בישראל.</w:t>
      </w:r>
    </w:p>
    <w:p w:rsidR="007A75A7" w:rsidRDefault="007A75A7" w:rsidP="007A75A7">
      <w:pPr>
        <w:pStyle w:val="a9"/>
        <w:jc w:val="both"/>
      </w:pPr>
    </w:p>
    <w:p w:rsidR="007A75A7" w:rsidRDefault="007A75A7" w:rsidP="00C00351">
      <w:pPr>
        <w:pStyle w:val="a9"/>
        <w:numPr>
          <w:ilvl w:val="0"/>
          <w:numId w:val="1"/>
        </w:numPr>
        <w:spacing w:line="360" w:lineRule="auto"/>
        <w:jc w:val="both"/>
      </w:pPr>
      <w:r>
        <w:rPr>
          <w:rFonts w:hint="cs"/>
          <w:rtl/>
        </w:rPr>
        <w:t>אין עורר שמרכז חייהם של התובעים המצויים קרוב עוד לשנות ה- 60 לחייהם, הוא בג</w:t>
      </w:r>
      <w:r w:rsidR="00C00351">
        <w:rPr>
          <w:rFonts w:hint="cs"/>
          <w:rtl/>
        </w:rPr>
        <w:t>...</w:t>
      </w:r>
      <w:r>
        <w:rPr>
          <w:rFonts w:hint="cs"/>
          <w:rtl/>
        </w:rPr>
        <w:t xml:space="preserve">. למעשה, כעולה ממרשם הכניסות והיציאות אשר פורט בתגובת ב"כ היועמ"ש, לא שהתה התובעת בישראל אלא שבועות ספורים ולכל היותר כחודשיים ואילו במשך 5 שנים לא צבר התובע זמן שהייה העולה על שנה במצטבר. </w:t>
      </w:r>
    </w:p>
    <w:p w:rsidR="007A75A7" w:rsidRDefault="007A75A7" w:rsidP="007A75A7">
      <w:pPr>
        <w:pStyle w:val="a9"/>
        <w:rPr>
          <w:rtl/>
        </w:rPr>
      </w:pP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אילו היינו עוסקים בתובענה רגילה, אזי הייתה ישראל בבחינת פורום לא נאות שכן מירב הזיקות למעשה</w:t>
      </w:r>
      <w:r w:rsidR="00C00351">
        <w:rPr>
          <w:rFonts w:hint="cs"/>
          <w:rtl/>
        </w:rPr>
        <w:t xml:space="preserve"> כולן, קושרות את התובעים לג...</w:t>
      </w:r>
      <w:r>
        <w:rPr>
          <w:rFonts w:hint="cs"/>
          <w:rtl/>
        </w:rPr>
        <w:t xml:space="preserve"> וזיקתם היחידה לישראל היא היותם רשומים כאזרחים במרשם האוכלוסין. לא כאן כאמור מרכז חייהם. </w:t>
      </w: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 xml:space="preserve">מה טעם ביקשו אנשים בשנות ה- 60 ליזום פונדקאות בסוף שנת 2022, אין אני יודע. </w:t>
      </w:r>
    </w:p>
    <w:p w:rsidR="007A75A7" w:rsidRDefault="007A75A7" w:rsidP="007A75A7">
      <w:pPr>
        <w:pStyle w:val="a9"/>
        <w:rPr>
          <w:rtl/>
        </w:rPr>
      </w:pP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 xml:space="preserve">היועצת המשפטית לממשלה מתנגדת למבוקש גם בהתבסס על המתווה הקיים ואשר גובש ואף תוקן לאחר פסיקה של ביהמ"ש העליון. </w:t>
      </w: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אני הקטן, המביט במתווה, רואה בו כאמור בבחינת אדן נוסף של עיקרון הפורום ה- לא נאות האומר כי מדינת ישראל לא תבדוק ולא תיתן צווים של הורות פסיקתית, להבדיל מהורות ביולוגית, לגבי מי שאינו שוהה בתחומה ואין לו זיקה מובהקת אליה, למעט אזרחותו.</w:t>
      </w:r>
    </w:p>
    <w:p w:rsidR="007A75A7" w:rsidRDefault="007A75A7" w:rsidP="007A75A7">
      <w:pPr>
        <w:pStyle w:val="a9"/>
        <w:rPr>
          <w:rtl/>
        </w:rPr>
      </w:pP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 xml:space="preserve">בל נטעה, הדברים אינם דומים למצב בו אדם החי בחו"ל מבקש על דרך תביעת אבהות או </w:t>
      </w:r>
      <w:proofErr w:type="spellStart"/>
      <w:r>
        <w:rPr>
          <w:rFonts w:hint="cs"/>
          <w:rtl/>
        </w:rPr>
        <w:t>אמהות</w:t>
      </w:r>
      <w:proofErr w:type="spellEnd"/>
      <w:r>
        <w:rPr>
          <w:rFonts w:hint="cs"/>
          <w:rtl/>
        </w:rPr>
        <w:t xml:space="preserve"> להיכנס בכנפיו של חוק השבות. מצב כזה אולי נכנס בגדר החריגים למתווה של מי שהתכוון להגיע ולחיות בישראל.</w:t>
      </w: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 xml:space="preserve">כפי שהיטיב לבטא בשעתו כב' השופט הנדל, הורות פסיקתית, אותה הלכה אשר נקראה בשם זיקה לזיקה, היא מעשה משפטי מיוחד המחייב זהירות יתירה.  סביב אותה זהירות גם נמצאה לנו פסיקה לכאן ולכאן לעניין הצורך בתסקיר ומיהו זה הצריך </w:t>
      </w:r>
      <w:proofErr w:type="spellStart"/>
      <w:r>
        <w:rPr>
          <w:rFonts w:hint="cs"/>
          <w:rtl/>
        </w:rPr>
        <w:t>לתיתו</w:t>
      </w:r>
      <w:proofErr w:type="spellEnd"/>
      <w:r>
        <w:rPr>
          <w:rFonts w:hint="cs"/>
          <w:rtl/>
        </w:rPr>
        <w:t>.</w:t>
      </w:r>
    </w:p>
    <w:p w:rsidR="007A75A7" w:rsidRDefault="007A75A7" w:rsidP="007A75A7">
      <w:pPr>
        <w:pStyle w:val="a9"/>
        <w:rPr>
          <w:rtl/>
        </w:rPr>
      </w:pP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כתבתי בשעתו, להבדיל מאימוץ למשל, ילד שלגביו נדון  צו הורות פסיקתי, אינו ילד הנמסר על ידי המדינה, אך עדיין אין בכך כדי לשלול, כל מקרה לגופו, את הצורך או היעדר הצורך במתן תסקיר או למצער ראייה אחרת.</w:t>
      </w: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 xml:space="preserve">סובר אני כי את החלטת ביהמ"ש העליון אשר ניתנה בעניין המתווה בנוסחו הקודם, יש לפרש כמתן הוראה להסדיר בקריטריונים קבועים את הסוגיה. </w:t>
      </w:r>
    </w:p>
    <w:p w:rsidR="007A75A7" w:rsidRDefault="007A75A7" w:rsidP="007A75A7">
      <w:pPr>
        <w:pStyle w:val="a9"/>
        <w:rPr>
          <w:rtl/>
        </w:rPr>
      </w:pP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צר לי, אך ענייניו הרבים של המחוקק בשנים האחרונות מקשים על השגת חקיקה מסודרת בשורת נושאים שאין להם שום גוון פוליטי. נושא זה יכול והוא נמנה עליהם.</w:t>
      </w: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עמדת המדינה אינה רק עמדתו של צד כפי שטוען ב"כ התובעים. עוד בשעתו חייב ביהמ"ש העליון את המדינה לפעול בהגינות, בסבירות ולשקול שיקוליה כאילו הייתה מיני בית משפט באשר להליך שיינקט.</w:t>
      </w:r>
    </w:p>
    <w:p w:rsidR="007A75A7" w:rsidRDefault="007A75A7" w:rsidP="007A75A7">
      <w:pPr>
        <w:pStyle w:val="a9"/>
        <w:rPr>
          <w:rtl/>
        </w:rPr>
      </w:pP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 xml:space="preserve">אי אפשר לומר על המתווה שהוא בלתי סביר, ההיפך הוא הנכון. סבורני שאדם אשר בחר לו מרכז חיים במקום מסוים בחו"ל ויש לו מעמד רשמי שם, צריך לפעול על פי חוקי אותו מקום וכל התערבות של ישראל בקביעת מעמדו של אדם שמרכז חייו בחו"ל וכל זיקתו למדינה היא </w:t>
      </w:r>
      <w:r>
        <w:rPr>
          <w:rFonts w:hint="cs"/>
          <w:rtl/>
        </w:rPr>
        <w:lastRenderedPageBreak/>
        <w:t>תעודת הזהות, מחייבת הוכחה שלא ניתן לקבל את אותו סעד במדינת מרכז החיים ובעצם גם הוכחה שהכוונה לא הייתה לעקוף את החוקים המקומיים בהליך שכאן.</w:t>
      </w:r>
    </w:p>
    <w:p w:rsidR="007A75A7" w:rsidRDefault="007A75A7" w:rsidP="007A75A7">
      <w:pPr>
        <w:pStyle w:val="a9"/>
        <w:jc w:val="both"/>
      </w:pPr>
    </w:p>
    <w:p w:rsidR="007A75A7" w:rsidRDefault="007A75A7" w:rsidP="00C00351">
      <w:pPr>
        <w:pStyle w:val="a9"/>
        <w:numPr>
          <w:ilvl w:val="0"/>
          <w:numId w:val="1"/>
        </w:numPr>
        <w:spacing w:line="360" w:lineRule="auto"/>
        <w:jc w:val="both"/>
      </w:pPr>
      <w:r>
        <w:rPr>
          <w:rFonts w:hint="cs"/>
          <w:rtl/>
        </w:rPr>
        <w:t xml:space="preserve">חוות דעת על פי הדין הזר לא הונחה בפני ובוודאי </w:t>
      </w:r>
      <w:proofErr w:type="spellStart"/>
      <w:r>
        <w:rPr>
          <w:rFonts w:hint="cs"/>
          <w:rtl/>
        </w:rPr>
        <w:t>ובוודאי</w:t>
      </w:r>
      <w:proofErr w:type="spellEnd"/>
      <w:r>
        <w:rPr>
          <w:rFonts w:hint="cs"/>
          <w:rtl/>
        </w:rPr>
        <w:t xml:space="preserve"> שאין אני יכול לקבוע, משנטען כי מדובר באבהות גנטית של התובע, כי לא ניתן לקבל סעד של הכרה בהורות בג</w:t>
      </w:r>
      <w:r w:rsidR="00C00351">
        <w:rPr>
          <w:rFonts w:hint="cs"/>
          <w:rtl/>
        </w:rPr>
        <w:t>...</w:t>
      </w:r>
      <w:r>
        <w:rPr>
          <w:rFonts w:hint="cs"/>
          <w:rtl/>
        </w:rPr>
        <w:t xml:space="preserve">. </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מתי צריך התובע לצו הורות פסיקתי כאשר הוא אב גנטי, לא ברור לי ואולם אומר, כי מדינת ישראל הייתה ערה בפסיקתה לאפשרות של ייזום הבאת קטין לעולם.</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תיאורטית, יכול אדם לשבת אצל המחשב עם כרטיס אשראי, להזמין מפלונית ביצית ומאלמוני זרע וכך לייצר במדינה שלישית או רביעית קטין. אפשרות זו, לא הוכרה כראויה בפסיקה.</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ב"כ היועמ"ש הפנתה אותי לחריגים למתווה כפי שתוארו בסעיף 17 לתגובתה. אומר, כי לטעמי, לא נכנסים התובעים לגדר החריגים להיפך. התנהלותם מלמדת כי יש להם כאמור אזרחות או תושבות נוספת, כל אחד מהתובעים לפי העניין, לא ה</w:t>
      </w:r>
      <w:r w:rsidR="00C00351">
        <w:rPr>
          <w:rFonts w:hint="cs"/>
          <w:rtl/>
        </w:rPr>
        <w:t>וכח בפני שבמדינת התושבות, ג...</w:t>
      </w:r>
      <w:r>
        <w:rPr>
          <w:rFonts w:hint="cs"/>
          <w:rtl/>
        </w:rPr>
        <w:t>, הנחשבת למדינה בעלת מערכת משפט נאורה ובעלת כללים תקינים, לא ניתן לרשום את ההורות, לרבות על דרך בדיקה גנטית וביצוע אימוץ, אם צריך בהיעדר דחיקה לצו הורות פסיקתי ובוודאי שהפורום הנאות אינו כאן.</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החזקת תעודת זהות שכמעט אין לה משמעות זולתי עצם קיומה, אין בה די להצדיק בקשה לצו הורות פסיקתית כא</w:t>
      </w:r>
      <w:r w:rsidR="00C00351">
        <w:rPr>
          <w:rFonts w:hint="cs"/>
          <w:rtl/>
        </w:rPr>
        <w:t xml:space="preserve">ן, שכל מטרתו היא לאלץ את </w:t>
      </w:r>
      <w:proofErr w:type="spellStart"/>
      <w:r w:rsidR="00C00351">
        <w:rPr>
          <w:rFonts w:hint="cs"/>
          <w:rtl/>
        </w:rPr>
        <w:t>הג</w:t>
      </w:r>
      <w:proofErr w:type="spellEnd"/>
      <w:r w:rsidR="00C00351">
        <w:rPr>
          <w:rFonts w:hint="cs"/>
          <w:rtl/>
        </w:rPr>
        <w:t>...</w:t>
      </w:r>
      <w:r>
        <w:rPr>
          <w:rFonts w:hint="cs"/>
          <w:rtl/>
        </w:rPr>
        <w:t xml:space="preserve"> לבצע רישום.</w:t>
      </w:r>
    </w:p>
    <w:p w:rsidR="00C00351" w:rsidRDefault="00C00351" w:rsidP="00C00351">
      <w:pPr>
        <w:pStyle w:val="a9"/>
        <w:rPr>
          <w:rtl/>
        </w:rPr>
      </w:pPr>
    </w:p>
    <w:p w:rsidR="00C00351" w:rsidRDefault="00C00351" w:rsidP="00C00351">
      <w:pPr>
        <w:pStyle w:val="a9"/>
        <w:spacing w:line="360" w:lineRule="auto"/>
        <w:jc w:val="both"/>
      </w:pPr>
    </w:p>
    <w:p w:rsidR="007A75A7" w:rsidRDefault="007A75A7" w:rsidP="007A75A7">
      <w:pPr>
        <w:pStyle w:val="a9"/>
        <w:numPr>
          <w:ilvl w:val="0"/>
          <w:numId w:val="1"/>
        </w:numPr>
        <w:spacing w:line="360" w:lineRule="auto"/>
        <w:jc w:val="both"/>
      </w:pPr>
      <w:r>
        <w:rPr>
          <w:rFonts w:hint="cs"/>
          <w:rtl/>
        </w:rPr>
        <w:t>בנסיבות שכאן, אכן יש זכות גישה לערכאות לכל אזרח ישראלי כפי שכותבים התובעים, ואכן, לא כל מתווה שיהיה מקובל על היועצת המשפטית יזכה בהכרח לאישורו של בית המשפט, אלא שכאשר בית המשפט אינו נותן אישור, צריך הוא לנמק נמק היטב מה לדעתו  צריך תיקון, מה אינו תקין ומה אינו ישים ונדמה לי שבמקרה שכאן ולמקרה שכאן, נועד המתווה.</w:t>
      </w:r>
    </w:p>
    <w:p w:rsidR="007A75A7" w:rsidRDefault="007A75A7" w:rsidP="007A75A7">
      <w:pPr>
        <w:pStyle w:val="a9"/>
        <w:jc w:val="both"/>
      </w:pPr>
    </w:p>
    <w:p w:rsidR="007A75A7" w:rsidRDefault="007A75A7" w:rsidP="007A75A7">
      <w:pPr>
        <w:pStyle w:val="a9"/>
        <w:numPr>
          <w:ilvl w:val="0"/>
          <w:numId w:val="1"/>
        </w:numPr>
        <w:spacing w:line="360" w:lineRule="auto"/>
        <w:jc w:val="both"/>
      </w:pPr>
      <w:r>
        <w:rPr>
          <w:rFonts w:hint="cs"/>
          <w:rtl/>
        </w:rPr>
        <w:t xml:space="preserve">ב"כ התובעים הפנה אותי </w:t>
      </w:r>
      <w:proofErr w:type="spellStart"/>
      <w:r>
        <w:rPr>
          <w:rFonts w:hint="cs"/>
          <w:rtl/>
        </w:rPr>
        <w:t>לתמ"ש</w:t>
      </w:r>
      <w:proofErr w:type="spellEnd"/>
      <w:r>
        <w:rPr>
          <w:rFonts w:hint="cs"/>
          <w:rtl/>
        </w:rPr>
        <w:t xml:space="preserve"> ת"א 70429-03-23 (כב' השופט כתוארו דאז יהורם שקד), אלא שפסק הדין אינו מביא לשינוי בהשקפתי במקרה הספציפי ואסביר.</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 xml:space="preserve">כדברי כב' השופט הוצג בפניו מצג שהמלצות הצוות עברו את משוכת ביהמ"ש העליון ולא היא, אלא שאני יוצא לדרכי בהבנה כי המתווה החדש טרם זכה לפסיקה בבית המשפט העליון, אלא שהוא כשלעצמו נושא היגיון ועונה לדרישה לקיים מתווה. </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נכון, המתווה אינו קדוש, נכון שביהמ"ש העליון או אפילו ביהמ"ש המחוזי יכולים לומר את דברם, אלא שלעת הזו, אין אני סבור שמן הראוי שבימ"ש בישראל יבחן צו הורות פסיקתי למי שאינו חי כאן שנים ויש לו כאמור מעמד במדינה אחרת שהוא חורג מגדר ויזה בלבד.</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 xml:space="preserve">כל פסק דין שעסק ב- </w:t>
      </w:r>
      <w:proofErr w:type="spellStart"/>
      <w:r>
        <w:rPr>
          <w:rFonts w:hint="cs"/>
          <w:rtl/>
        </w:rPr>
        <w:t>רילוקיישן</w:t>
      </w:r>
      <w:proofErr w:type="spellEnd"/>
      <w:r>
        <w:rPr>
          <w:rFonts w:hint="cs"/>
          <w:rtl/>
        </w:rPr>
        <w:t xml:space="preserve">, נזכר בעצם בחריג שבמתווה לאמור, </w:t>
      </w:r>
      <w:proofErr w:type="spellStart"/>
      <w:r>
        <w:rPr>
          <w:rFonts w:hint="cs"/>
          <w:rtl/>
        </w:rPr>
        <w:t>שרילוקיישן</w:t>
      </w:r>
      <w:proofErr w:type="spellEnd"/>
      <w:r>
        <w:rPr>
          <w:rFonts w:hint="cs"/>
          <w:rtl/>
        </w:rPr>
        <w:t xml:space="preserve"> מעיד על עצמו כשהות זמנית בלבד בחו"ל. </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 xml:space="preserve">סוף דבר, התובענה נדחית. </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 xml:space="preserve">התובעים יישאו בהוצאות לטובת מדינת ישראל לאור השלב אליו הגיע ההליך בסך 4,000 ₪. </w:t>
      </w:r>
    </w:p>
    <w:p w:rsidR="007A75A7" w:rsidRDefault="007A75A7" w:rsidP="007A75A7">
      <w:pPr>
        <w:pStyle w:val="a9"/>
        <w:rPr>
          <w:rtl/>
        </w:rPr>
      </w:pPr>
    </w:p>
    <w:p w:rsidR="007A75A7" w:rsidRDefault="007A75A7" w:rsidP="007A75A7">
      <w:pPr>
        <w:pStyle w:val="a9"/>
        <w:numPr>
          <w:ilvl w:val="0"/>
          <w:numId w:val="1"/>
        </w:numPr>
        <w:spacing w:line="360" w:lineRule="auto"/>
        <w:jc w:val="both"/>
      </w:pPr>
      <w:r>
        <w:rPr>
          <w:rFonts w:hint="cs"/>
          <w:rtl/>
        </w:rPr>
        <w:t>המזכירות תסגור התיק.</w:t>
      </w:r>
    </w:p>
    <w:p w:rsidR="007A75A7" w:rsidRDefault="007A75A7" w:rsidP="007A75A7">
      <w:pPr>
        <w:pStyle w:val="a9"/>
        <w:spacing w:line="360" w:lineRule="auto"/>
        <w:jc w:val="both"/>
      </w:pPr>
    </w:p>
    <w:p w:rsidR="007A75A7" w:rsidRDefault="007A75A7" w:rsidP="007A75A7">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ג' תמוז תשפ"ד</w:t>
          </w:r>
        </w:sdtContent>
      </w:sdt>
      <w:r>
        <w:rPr>
          <w:rFonts w:hint="cs"/>
          <w:b/>
          <w:bCs/>
          <w:rtl/>
        </w:rPr>
        <w:t xml:space="preserve">, </w:t>
      </w:r>
      <w:sdt>
        <w:sdtPr>
          <w:rPr>
            <w:rtl/>
          </w:rPr>
          <w:alias w:val="2206"/>
          <w:tag w:val="2206"/>
          <w:id w:val="-1474593809"/>
          <w:text w:multiLine="1"/>
        </w:sdtPr>
        <w:sdtEndPr/>
        <w:sdtContent>
          <w:r>
            <w:rPr>
              <w:b/>
              <w:bCs/>
            </w:rPr>
            <w:t>09/07/2024</w:t>
          </w:r>
        </w:sdtContent>
      </w:sdt>
      <w:r>
        <w:rPr>
          <w:rFonts w:hint="cs"/>
          <w:b/>
          <w:bCs/>
          <w:rtl/>
        </w:rPr>
        <w:t xml:space="preserve"> במעמד הנוכחים.</w:t>
      </w:r>
    </w:p>
    <w:p w:rsidR="007A75A7" w:rsidRDefault="007A75A7" w:rsidP="007A75A7">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7A75A7" w:rsidTr="005E34E3">
        <w:trPr>
          <w:trHeight w:val="316"/>
          <w:jc w:val="right"/>
        </w:trPr>
        <w:tc>
          <w:tcPr>
            <w:tcW w:w="3936" w:type="dxa"/>
            <w:vAlign w:val="center"/>
          </w:tcPr>
          <w:p w:rsidR="007A75A7" w:rsidRDefault="003822C0" w:rsidP="005E34E3">
            <w:pPr>
              <w:jc w:val="center"/>
            </w:pPr>
            <w:sdt>
              <w:sdtPr>
                <w:rPr>
                  <w:rtl/>
                </w:rPr>
                <w:alias w:val="MergeField"/>
                <w:tag w:val="2144"/>
                <w:id w:val="-595478201"/>
              </w:sdtPr>
              <w:sdtEndPr/>
              <w:sdtContent>
                <w:r w:rsidR="007A75A7">
                  <w:rPr>
                    <w:noProof/>
                  </w:rPr>
                  <w:drawing>
                    <wp:inline distT="0" distB="0" distL="0" distR="0" wp14:anchorId="6AB51F16" wp14:editId="41766EFA">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p w:rsidR="007A75A7" w:rsidRDefault="007A75A7" w:rsidP="005E34E3">
            <w:pPr>
              <w:jc w:val="center"/>
              <w:rPr>
                <w:rtl/>
              </w:rPr>
            </w:pPr>
          </w:p>
        </w:tc>
      </w:tr>
      <w:tr w:rsidR="007A75A7" w:rsidTr="005E34E3">
        <w:trPr>
          <w:trHeight w:val="361"/>
          <w:jc w:val="right"/>
        </w:trPr>
        <w:tc>
          <w:tcPr>
            <w:tcW w:w="3936" w:type="dxa"/>
            <w:vAlign w:val="center"/>
          </w:tcPr>
          <w:p w:rsidR="007A75A7" w:rsidRPr="00C02017" w:rsidRDefault="003822C0" w:rsidP="005E34E3">
            <w:pPr>
              <w:jc w:val="center"/>
              <w:rPr>
                <w:rFonts w:cs="David"/>
                <w:b/>
                <w:bCs/>
                <w:rtl/>
              </w:rPr>
            </w:pPr>
            <w:sdt>
              <w:sdtPr>
                <w:rPr>
                  <w:b/>
                  <w:bCs/>
                  <w:rtl/>
                </w:rPr>
                <w:alias w:val="2141"/>
                <w:tag w:val="2141"/>
                <w:id w:val="2119712613"/>
                <w:placeholder>
                  <w:docPart w:val="6913DB4DC75F49E29AFA317EA23380C4"/>
                </w:placeholder>
                <w:text w:multiLine="1"/>
              </w:sdtPr>
              <w:sdtEndPr/>
              <w:sdtContent>
                <w:r w:rsidR="007A75A7">
                  <w:rPr>
                    <w:rFonts w:cs="David"/>
                    <w:b/>
                    <w:bCs/>
                    <w:rtl/>
                  </w:rPr>
                  <w:t>ארז</w:t>
                </w:r>
              </w:sdtContent>
            </w:sdt>
            <w:r w:rsidR="007A75A7" w:rsidRPr="00C02017">
              <w:rPr>
                <w:rFonts w:cs="David" w:hint="cs"/>
                <w:b/>
                <w:bCs/>
                <w:rtl/>
              </w:rPr>
              <w:t xml:space="preserve"> </w:t>
            </w:r>
            <w:sdt>
              <w:sdtPr>
                <w:rPr>
                  <w:rFonts w:hint="cs"/>
                  <w:b/>
                  <w:bCs/>
                  <w:rtl/>
                </w:rPr>
                <w:alias w:val="2142"/>
                <w:tag w:val="2142"/>
                <w:id w:val="-26639521"/>
                <w:placeholder>
                  <w:docPart w:val="C898348EFED74CF9A69316F9BC056DD0"/>
                </w:placeholder>
                <w:text w:multiLine="1"/>
              </w:sdtPr>
              <w:sdtEndPr/>
              <w:sdtContent>
                <w:r w:rsidR="007A75A7">
                  <w:rPr>
                    <w:rFonts w:cs="David"/>
                    <w:b/>
                    <w:bCs/>
                    <w:rtl/>
                  </w:rPr>
                  <w:t>שני</w:t>
                </w:r>
              </w:sdtContent>
            </w:sdt>
            <w:r w:rsidR="007A75A7" w:rsidRPr="00C02017">
              <w:rPr>
                <w:rFonts w:cs="David" w:hint="cs"/>
                <w:b/>
                <w:bCs/>
                <w:rtl/>
              </w:rPr>
              <w:t xml:space="preserve">, </w:t>
            </w:r>
            <w:sdt>
              <w:sdtPr>
                <w:rPr>
                  <w:rFonts w:hint="cs"/>
                  <w:b/>
                  <w:bCs/>
                  <w:rtl/>
                </w:rPr>
                <w:alias w:val="2143"/>
                <w:tag w:val="2143"/>
                <w:id w:val="1647695366"/>
                <w:placeholder>
                  <w:docPart w:val="3F0D25BFEA2A43479F179023A93E6D2D"/>
                </w:placeholder>
                <w:text w:multiLine="1"/>
              </w:sdtPr>
              <w:sdtEndPr/>
              <w:sdtContent>
                <w:r w:rsidR="007A75A7">
                  <w:rPr>
                    <w:rFonts w:cs="David"/>
                    <w:b/>
                    <w:bCs/>
                    <w:rtl/>
                  </w:rPr>
                  <w:t>שופט</w:t>
                </w:r>
              </w:sdtContent>
            </w:sdt>
          </w:p>
        </w:tc>
      </w:tr>
    </w:tbl>
    <w:p w:rsidR="007A75A7" w:rsidRPr="00ED7A7E" w:rsidRDefault="007A75A7" w:rsidP="007A75A7">
      <w:pPr>
        <w:rPr>
          <w:rtl/>
        </w:rPr>
      </w:pPr>
      <w:r>
        <w:rPr>
          <w:rtl/>
        </w:rPr>
        <w:t xml:space="preserve"> </w:t>
      </w:r>
    </w:p>
    <w:p w:rsidR="002E6B67" w:rsidRDefault="002E6B67"/>
    <w:sectPr w:rsidR="002E6B67" w:rsidSect="004D199E">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2C0" w:rsidRDefault="003822C0" w:rsidP="00C00351">
      <w:pPr>
        <w:spacing w:after="0" w:line="240" w:lineRule="auto"/>
      </w:pPr>
      <w:r>
        <w:separator/>
      </w:r>
    </w:p>
  </w:endnote>
  <w:endnote w:type="continuationSeparator" w:id="0">
    <w:p w:rsidR="003822C0" w:rsidRDefault="003822C0" w:rsidP="00C00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99E" w:rsidRDefault="00DC7DD5" w:rsidP="00683295">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1</w:t>
    </w:r>
    <w:r>
      <w:rPr>
        <w:rStyle w:val="a8"/>
        <w:rtl/>
      </w:rPr>
      <w:fldChar w:fldCharType="end"/>
    </w:r>
  </w:p>
  <w:p w:rsidR="004D199E" w:rsidRDefault="003822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99E" w:rsidRDefault="00DC7DD5" w:rsidP="00683295">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B078BF">
      <w:rPr>
        <w:rStyle w:val="a8"/>
        <w:noProof/>
        <w:rtl/>
      </w:rPr>
      <w:t>1</w:t>
    </w:r>
    <w:r>
      <w:rPr>
        <w:rStyle w:val="a8"/>
        <w:rtl/>
      </w:rPr>
      <w:fldChar w:fldCharType="end"/>
    </w:r>
  </w:p>
  <w:p w:rsidR="004D199E" w:rsidRDefault="003822C0">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8BF" w:rsidRDefault="00B078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2C0" w:rsidRDefault="003822C0" w:rsidP="00C00351">
      <w:pPr>
        <w:spacing w:after="0" w:line="240" w:lineRule="auto"/>
      </w:pPr>
      <w:r>
        <w:separator/>
      </w:r>
    </w:p>
  </w:footnote>
  <w:footnote w:type="continuationSeparator" w:id="0">
    <w:p w:rsidR="003822C0" w:rsidRDefault="003822C0" w:rsidP="00C003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8BF" w:rsidRDefault="00B078B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DC7DD5">
    <w:pPr>
      <w:pStyle w:val="a3"/>
      <w:tabs>
        <w:tab w:val="clear" w:pos="8306"/>
      </w:tabs>
      <w:jc w:val="center"/>
      <w:rPr>
        <w:rtl/>
      </w:rPr>
    </w:pPr>
    <w:r>
      <w:rPr>
        <w:noProof/>
      </w:rPr>
      <w:drawing>
        <wp:inline distT="0" distB="0" distL="0" distR="0" wp14:anchorId="0A16EDE0" wp14:editId="2CB0596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DC7DD5">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1749C4" w:rsidRDefault="003822C0" w:rsidP="00C00351">
          <w:pPr>
            <w:rPr>
              <w:rFonts w:hint="cs"/>
              <w:b/>
              <w:bCs/>
              <w:sz w:val="26"/>
              <w:szCs w:val="26"/>
              <w:rtl/>
            </w:rPr>
          </w:pPr>
          <w:sdt>
            <w:sdtPr>
              <w:rPr>
                <w:b/>
                <w:bCs/>
                <w:sz w:val="26"/>
                <w:szCs w:val="26"/>
                <w:rtl/>
              </w:rPr>
              <w:alias w:val="849"/>
              <w:tag w:val="849"/>
              <w:id w:val="-1617746001"/>
              <w:text w:multiLine="1"/>
            </w:sdtPr>
            <w:sdtEndPr/>
            <w:sdtContent>
              <w:proofErr w:type="spellStart"/>
              <w:r w:rsidR="00DC7DD5">
                <w:rPr>
                  <w:b/>
                  <w:bCs/>
                  <w:sz w:val="26"/>
                  <w:szCs w:val="26"/>
                  <w:rtl/>
                </w:rPr>
                <w:t>תמ"ש</w:t>
              </w:r>
              <w:proofErr w:type="spellEnd"/>
            </w:sdtContent>
          </w:sdt>
          <w:r w:rsidR="00DC7DD5">
            <w:rPr>
              <w:rFonts w:hint="cs"/>
              <w:b/>
              <w:bCs/>
              <w:sz w:val="26"/>
              <w:szCs w:val="26"/>
              <w:rtl/>
            </w:rPr>
            <w:t xml:space="preserve"> </w:t>
          </w:r>
          <w:bookmarkStart w:id="0" w:name="_GoBack"/>
          <w:sdt>
            <w:sdtPr>
              <w:rPr>
                <w:b/>
                <w:bCs/>
                <w:sz w:val="26"/>
                <w:szCs w:val="26"/>
                <w:rtl/>
              </w:rPr>
              <w:alias w:val="158"/>
              <w:tag w:val="158"/>
              <w:id w:val="-1470517263"/>
              <w:text w:multiLine="1"/>
            </w:sdtPr>
            <w:sdtEndPr/>
            <w:sdtContent>
              <w:r w:rsidR="00DC7DD5">
                <w:rPr>
                  <w:b/>
                  <w:bCs/>
                  <w:sz w:val="26"/>
                  <w:szCs w:val="26"/>
                  <w:rtl/>
                </w:rPr>
                <w:t>12085-04-24</w:t>
              </w:r>
            </w:sdtContent>
          </w:sdt>
          <w:bookmarkEnd w:id="0"/>
          <w:r w:rsidR="00DC7DD5">
            <w:rPr>
              <w:rFonts w:hint="cs"/>
              <w:b/>
              <w:bCs/>
              <w:sz w:val="26"/>
              <w:szCs w:val="26"/>
              <w:rtl/>
            </w:rPr>
            <w:t xml:space="preserve"> </w:t>
          </w:r>
          <w:r w:rsidR="00C00351">
            <w:rPr>
              <w:rFonts w:hint="cs"/>
              <w:b/>
              <w:bCs/>
              <w:sz w:val="26"/>
              <w:szCs w:val="26"/>
              <w:rtl/>
            </w:rPr>
            <w:t>ר. ואח' נ' היועץ המשפטי לממשלה</w:t>
          </w:r>
        </w:p>
        <w:p w:rsidR="001749C4" w:rsidRDefault="00DC7DD5" w:rsidP="004B73B6">
          <w:pPr>
            <w:rPr>
              <w:b/>
              <w:bCs/>
              <w:sz w:val="26"/>
              <w:szCs w:val="26"/>
              <w:rtl/>
            </w:rPr>
          </w:pPr>
          <w:r w:rsidRPr="00805B1F">
            <w:rPr>
              <w:b/>
              <w:bCs/>
              <w:rtl/>
            </w:rPr>
            <w:t>לפני כבוד ה</w:t>
          </w:r>
          <w:sdt>
            <w:sdtPr>
              <w:rPr>
                <w:rtl/>
              </w:rPr>
              <w:alias w:val="165"/>
              <w:tag w:val="165"/>
              <w:id w:val="584732177"/>
              <w:text w:multiLine="1"/>
            </w:sdtPr>
            <w:sdtEndPr/>
            <w:sdtContent>
              <w:r>
                <w:rPr>
                  <w:b/>
                  <w:bCs/>
                  <w:rtl/>
                </w:rPr>
                <w:t>שופט ארז שני</w:t>
              </w:r>
            </w:sdtContent>
          </w:sdt>
        </w:p>
      </w:tc>
      <w:tc>
        <w:tcPr>
          <w:tcW w:w="283" w:type="dxa"/>
        </w:tcPr>
        <w:p w:rsidR="00EB1D9D" w:rsidRDefault="003822C0">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DC7DD5" w:rsidP="00B24CA7">
              <w:pPr>
                <w:pStyle w:val="a3"/>
                <w:tabs>
                  <w:tab w:val="clear" w:pos="4153"/>
                </w:tabs>
                <w:jc w:val="right"/>
                <w:rPr>
                  <w:b/>
                  <w:bCs/>
                  <w:sz w:val="26"/>
                  <w:szCs w:val="26"/>
                  <w:rtl/>
                </w:rPr>
              </w:pPr>
              <w:r>
                <w:rPr>
                  <w:b/>
                  <w:bCs/>
                  <w:sz w:val="26"/>
                  <w:szCs w:val="26"/>
                  <w:rtl/>
                </w:rPr>
                <w:t>09 יולי 2024</w:t>
              </w:r>
            </w:p>
          </w:tc>
        </w:sdtContent>
      </w:sdt>
    </w:tr>
  </w:tbl>
  <w:p w:rsidR="00EB1D9D" w:rsidRDefault="003822C0">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8BF" w:rsidRDefault="00B078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2397D"/>
    <w:multiLevelType w:val="hybridMultilevel"/>
    <w:tmpl w:val="F4BC6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5A7"/>
    <w:rsid w:val="002E6B67"/>
    <w:rsid w:val="003079DC"/>
    <w:rsid w:val="003822C0"/>
    <w:rsid w:val="007A75A7"/>
    <w:rsid w:val="00B078BF"/>
    <w:rsid w:val="00C00351"/>
    <w:rsid w:val="00DC7DD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527E4F-5BE0-4EB2-B1A4-419AA1D2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A75A7"/>
    <w:pPr>
      <w:tabs>
        <w:tab w:val="center" w:pos="4153"/>
        <w:tab w:val="right" w:pos="8306"/>
      </w:tabs>
      <w:spacing w:after="0" w:line="240" w:lineRule="auto"/>
    </w:pPr>
    <w:rPr>
      <w:rFonts w:ascii="David" w:eastAsia="David" w:hAnsi="David" w:cs="David"/>
      <w:sz w:val="24"/>
      <w:szCs w:val="24"/>
    </w:rPr>
  </w:style>
  <w:style w:type="character" w:customStyle="1" w:styleId="a4">
    <w:name w:val="כותרת עליונה תו"/>
    <w:basedOn w:val="a0"/>
    <w:link w:val="a3"/>
    <w:rsid w:val="007A75A7"/>
    <w:rPr>
      <w:rFonts w:ascii="David" w:eastAsia="David" w:hAnsi="David" w:cs="David"/>
      <w:sz w:val="24"/>
      <w:szCs w:val="24"/>
    </w:rPr>
  </w:style>
  <w:style w:type="paragraph" w:styleId="a5">
    <w:name w:val="footer"/>
    <w:basedOn w:val="a"/>
    <w:link w:val="a6"/>
    <w:rsid w:val="007A75A7"/>
    <w:pPr>
      <w:tabs>
        <w:tab w:val="center" w:pos="4153"/>
        <w:tab w:val="right" w:pos="8306"/>
      </w:tabs>
      <w:spacing w:after="0" w:line="240" w:lineRule="auto"/>
    </w:pPr>
    <w:rPr>
      <w:rFonts w:ascii="David" w:eastAsia="David" w:hAnsi="David" w:cs="David"/>
      <w:sz w:val="24"/>
      <w:szCs w:val="24"/>
    </w:rPr>
  </w:style>
  <w:style w:type="character" w:customStyle="1" w:styleId="a6">
    <w:name w:val="כותרת תחתונה תו"/>
    <w:basedOn w:val="a0"/>
    <w:link w:val="a5"/>
    <w:rsid w:val="007A75A7"/>
    <w:rPr>
      <w:rFonts w:ascii="David" w:eastAsia="David" w:hAnsi="David" w:cs="David"/>
      <w:sz w:val="24"/>
      <w:szCs w:val="24"/>
    </w:rPr>
  </w:style>
  <w:style w:type="table" w:styleId="a7">
    <w:name w:val="Table Grid"/>
    <w:basedOn w:val="a1"/>
    <w:rsid w:val="007A75A7"/>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7A75A7"/>
  </w:style>
  <w:style w:type="paragraph" w:customStyle="1" w:styleId="12">
    <w:name w:val="רגיל + ‏12 נק'"/>
    <w:aliases w:val="מיושר לשני הצדדים,מרווח בין שורות:  שורה וחצי"/>
    <w:basedOn w:val="a"/>
    <w:rsid w:val="007A75A7"/>
    <w:pPr>
      <w:spacing w:after="0" w:line="240" w:lineRule="auto"/>
    </w:pPr>
    <w:rPr>
      <w:rFonts w:ascii="Times New Roman" w:eastAsia="Times New Roman" w:hAnsi="Times New Roman" w:cs="David"/>
      <w:b/>
      <w:bCs/>
      <w:sz w:val="24"/>
      <w:szCs w:val="24"/>
      <w:u w:val="single"/>
    </w:rPr>
  </w:style>
  <w:style w:type="paragraph" w:styleId="a9">
    <w:name w:val="List Paragraph"/>
    <w:basedOn w:val="a"/>
    <w:uiPriority w:val="34"/>
    <w:qFormat/>
    <w:rsid w:val="007A75A7"/>
    <w:pPr>
      <w:spacing w:after="0" w:line="240" w:lineRule="auto"/>
      <w:ind w:left="720"/>
      <w:contextualSpacing/>
    </w:pPr>
    <w:rPr>
      <w:rFonts w:ascii="David" w:eastAsia="David" w:hAnsi="David" w:cs="David"/>
      <w:sz w:val="24"/>
      <w:szCs w:val="24"/>
    </w:rPr>
  </w:style>
  <w:style w:type="character" w:styleId="aa">
    <w:name w:val="line number"/>
    <w:basedOn w:val="a0"/>
    <w:uiPriority w:val="99"/>
    <w:semiHidden/>
    <w:unhideWhenUsed/>
    <w:rsid w:val="007A7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7716BE313F143D8AA8257098675A3E3"/>
        <w:category>
          <w:name w:val="כללי"/>
          <w:gallery w:val="placeholder"/>
        </w:category>
        <w:types>
          <w:type w:val="bbPlcHdr"/>
        </w:types>
        <w:behaviors>
          <w:behavior w:val="content"/>
        </w:behaviors>
        <w:guid w:val="{F0F5FC31-BFB9-4697-A1FA-B70942F54BEF}"/>
      </w:docPartPr>
      <w:docPartBody>
        <w:p w:rsidR="00FE776F" w:rsidRDefault="00DD36FA" w:rsidP="00DD36FA">
          <w:pPr>
            <w:pStyle w:val="F7716BE313F143D8AA8257098675A3E3"/>
          </w:pPr>
          <w:r w:rsidRPr="00805B1F">
            <w:rPr>
              <w:b/>
              <w:bCs/>
              <w:rtl/>
            </w:rPr>
            <w:t>תאור קבוצת שיכות צד א'</w:t>
          </w:r>
        </w:p>
      </w:docPartBody>
    </w:docPart>
    <w:docPart>
      <w:docPartPr>
        <w:name w:val="C808E2DFB45F482CBFD9EBB0C5213E83"/>
        <w:category>
          <w:name w:val="כללי"/>
          <w:gallery w:val="placeholder"/>
        </w:category>
        <w:types>
          <w:type w:val="bbPlcHdr"/>
        </w:types>
        <w:behaviors>
          <w:behavior w:val="content"/>
        </w:behaviors>
        <w:guid w:val="{91432E42-1D1A-48CF-AED6-60F0B2DF9007}"/>
      </w:docPartPr>
      <w:docPartBody>
        <w:p w:rsidR="00FE776F" w:rsidRDefault="00DD36FA" w:rsidP="00DD36FA">
          <w:pPr>
            <w:pStyle w:val="C808E2DFB45F482CBFD9EBB0C5213E83"/>
          </w:pPr>
          <w:r w:rsidRPr="008424EA">
            <w:rPr>
              <w:b/>
              <w:bCs/>
              <w:rtl/>
            </w:rPr>
            <w:t>מספר מעמד צד א'</w:t>
          </w:r>
        </w:p>
      </w:docPartBody>
    </w:docPart>
    <w:docPart>
      <w:docPartPr>
        <w:name w:val="4435D3A963AC4A0C8DCA346E72CD646B"/>
        <w:category>
          <w:name w:val="כללי"/>
          <w:gallery w:val="placeholder"/>
        </w:category>
        <w:types>
          <w:type w:val="bbPlcHdr"/>
        </w:types>
        <w:behaviors>
          <w:behavior w:val="content"/>
        </w:behaviors>
        <w:guid w:val="{8A381D3D-B062-4691-9F4C-4468D8208885}"/>
      </w:docPartPr>
      <w:docPartBody>
        <w:p w:rsidR="00FE776F" w:rsidRDefault="00DD36FA" w:rsidP="00DD36FA">
          <w:pPr>
            <w:pStyle w:val="4435D3A963AC4A0C8DCA346E72CD646B"/>
          </w:pPr>
          <w:r w:rsidRPr="008424EA">
            <w:rPr>
              <w:b/>
              <w:bCs/>
              <w:rtl/>
            </w:rPr>
            <w:t>שם צד א'</w:t>
          </w:r>
        </w:p>
      </w:docPartBody>
    </w:docPart>
    <w:docPart>
      <w:docPartPr>
        <w:name w:val="58502088338B44AB86B237467D72940F"/>
        <w:category>
          <w:name w:val="כללי"/>
          <w:gallery w:val="placeholder"/>
        </w:category>
        <w:types>
          <w:type w:val="bbPlcHdr"/>
        </w:types>
        <w:behaviors>
          <w:behavior w:val="content"/>
        </w:behaviors>
        <w:guid w:val="{9E516254-FFBC-4DA7-8A7E-170894B04709}"/>
      </w:docPartPr>
      <w:docPartBody>
        <w:p w:rsidR="00FE776F" w:rsidRDefault="00DD36FA" w:rsidP="00DD36FA">
          <w:pPr>
            <w:pStyle w:val="58502088338B44AB86B237467D72940F"/>
          </w:pPr>
          <w:r w:rsidRPr="00805B1F">
            <w:rPr>
              <w:b/>
              <w:bCs/>
              <w:rtl/>
            </w:rPr>
            <w:t>שם צד ב'</w:t>
          </w:r>
        </w:p>
      </w:docPartBody>
    </w:docPart>
    <w:docPart>
      <w:docPartPr>
        <w:name w:val="B7125CAFFF8041FC948651E08EBF9887"/>
        <w:category>
          <w:name w:val="כללי"/>
          <w:gallery w:val="placeholder"/>
        </w:category>
        <w:types>
          <w:type w:val="bbPlcHdr"/>
        </w:types>
        <w:behaviors>
          <w:behavior w:val="content"/>
        </w:behaviors>
        <w:guid w:val="{553BF61C-5CD5-4338-9D86-F88A67F19FC1}"/>
      </w:docPartPr>
      <w:docPartBody>
        <w:p w:rsidR="00FE776F" w:rsidRDefault="00DD36FA" w:rsidP="00DD36FA">
          <w:pPr>
            <w:pStyle w:val="B7125CAFFF8041FC948651E08EBF9887"/>
          </w:pPr>
          <w:r w:rsidRPr="00805B1F">
            <w:rPr>
              <w:b/>
              <w:bCs/>
              <w:rtl/>
            </w:rPr>
            <w:t>סוג זיהוי צד ב</w:t>
          </w:r>
        </w:p>
      </w:docPartBody>
    </w:docPart>
    <w:docPart>
      <w:docPartPr>
        <w:name w:val="E51C734CCB2F45F98080FC6FB9ECAE5D"/>
        <w:category>
          <w:name w:val="כללי"/>
          <w:gallery w:val="placeholder"/>
        </w:category>
        <w:types>
          <w:type w:val="bbPlcHdr"/>
        </w:types>
        <w:behaviors>
          <w:behavior w:val="content"/>
        </w:behaviors>
        <w:guid w:val="{1F60CDC2-A7A7-4B2C-B093-9CA67780CA47}"/>
      </w:docPartPr>
      <w:docPartBody>
        <w:p w:rsidR="00FE776F" w:rsidRDefault="00DD36FA" w:rsidP="00DD36FA">
          <w:pPr>
            <w:pStyle w:val="E51C734CCB2F45F98080FC6FB9ECAE5D"/>
          </w:pPr>
          <w:r w:rsidRPr="00805B1F">
            <w:rPr>
              <w:b/>
              <w:bCs/>
              <w:rtl/>
            </w:rPr>
            <w:t>מספר זיהוי צד ב</w:t>
          </w:r>
        </w:p>
      </w:docPartBody>
    </w:docPart>
    <w:docPart>
      <w:docPartPr>
        <w:name w:val="6913DB4DC75F49E29AFA317EA23380C4"/>
        <w:category>
          <w:name w:val="כללי"/>
          <w:gallery w:val="placeholder"/>
        </w:category>
        <w:types>
          <w:type w:val="bbPlcHdr"/>
        </w:types>
        <w:behaviors>
          <w:behavior w:val="content"/>
        </w:behaviors>
        <w:guid w:val="{79ACDA6F-E7E5-4C1C-B737-DE4CC8A9CBA5}"/>
      </w:docPartPr>
      <w:docPartBody>
        <w:p w:rsidR="00FE776F" w:rsidRDefault="00DD36FA" w:rsidP="00DD36FA">
          <w:pPr>
            <w:pStyle w:val="6913DB4DC75F49E29AFA317EA23380C4"/>
          </w:pPr>
          <w:r w:rsidRPr="002A7028">
            <w:rPr>
              <w:rFonts w:cs="David"/>
              <w:b/>
              <w:bCs/>
              <w:rtl/>
            </w:rPr>
            <w:t>שם פרטי חותם</w:t>
          </w:r>
        </w:p>
      </w:docPartBody>
    </w:docPart>
    <w:docPart>
      <w:docPartPr>
        <w:name w:val="C898348EFED74CF9A69316F9BC056DD0"/>
        <w:category>
          <w:name w:val="כללי"/>
          <w:gallery w:val="placeholder"/>
        </w:category>
        <w:types>
          <w:type w:val="bbPlcHdr"/>
        </w:types>
        <w:behaviors>
          <w:behavior w:val="content"/>
        </w:behaviors>
        <w:guid w:val="{D3544E02-D662-4F71-85A9-2366F202B8C6}"/>
      </w:docPartPr>
      <w:docPartBody>
        <w:p w:rsidR="00FE776F" w:rsidRDefault="00DD36FA" w:rsidP="00DD36FA">
          <w:pPr>
            <w:pStyle w:val="C898348EFED74CF9A69316F9BC056DD0"/>
          </w:pPr>
          <w:r w:rsidRPr="002A7028">
            <w:rPr>
              <w:rFonts w:cs="David"/>
              <w:b/>
              <w:bCs/>
              <w:rtl/>
            </w:rPr>
            <w:t>שם משפחה חותם</w:t>
          </w:r>
        </w:p>
      </w:docPartBody>
    </w:docPart>
    <w:docPart>
      <w:docPartPr>
        <w:name w:val="3F0D25BFEA2A43479F179023A93E6D2D"/>
        <w:category>
          <w:name w:val="כללי"/>
          <w:gallery w:val="placeholder"/>
        </w:category>
        <w:types>
          <w:type w:val="bbPlcHdr"/>
        </w:types>
        <w:behaviors>
          <w:behavior w:val="content"/>
        </w:behaviors>
        <w:guid w:val="{F94399C0-DF32-426F-9FDC-707993ADF5B7}"/>
      </w:docPartPr>
      <w:docPartBody>
        <w:p w:rsidR="00FE776F" w:rsidRDefault="00DD36FA" w:rsidP="00DD36FA">
          <w:pPr>
            <w:pStyle w:val="3F0D25BFEA2A43479F179023A93E6D2D"/>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6FA"/>
    <w:rsid w:val="000441DE"/>
    <w:rsid w:val="003671BD"/>
    <w:rsid w:val="00DD36FA"/>
    <w:rsid w:val="00FE776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259D69DBA124CC4AB91505A722733F1">
    <w:name w:val="A259D69DBA124CC4AB91505A722733F1"/>
    <w:rsid w:val="00DD36FA"/>
    <w:pPr>
      <w:bidi/>
    </w:pPr>
  </w:style>
  <w:style w:type="paragraph" w:customStyle="1" w:styleId="F4897DDF083A474781F2150DFD213C0F">
    <w:name w:val="F4897DDF083A474781F2150DFD213C0F"/>
    <w:rsid w:val="00DD36FA"/>
    <w:pPr>
      <w:bidi/>
    </w:pPr>
  </w:style>
  <w:style w:type="paragraph" w:customStyle="1" w:styleId="F4E9FA2016334D43AC078A95CD7EEDA2">
    <w:name w:val="F4E9FA2016334D43AC078A95CD7EEDA2"/>
    <w:rsid w:val="00DD36FA"/>
    <w:pPr>
      <w:bidi/>
    </w:pPr>
  </w:style>
  <w:style w:type="paragraph" w:customStyle="1" w:styleId="DD06A943E2F948159E32B26FC3BB8486">
    <w:name w:val="DD06A943E2F948159E32B26FC3BB8486"/>
    <w:rsid w:val="00DD36FA"/>
    <w:pPr>
      <w:bidi/>
    </w:pPr>
  </w:style>
  <w:style w:type="paragraph" w:customStyle="1" w:styleId="68E01D9BD257467890A95FE9DB6AB3A0">
    <w:name w:val="68E01D9BD257467890A95FE9DB6AB3A0"/>
    <w:rsid w:val="00DD36FA"/>
    <w:pPr>
      <w:bidi/>
    </w:pPr>
  </w:style>
  <w:style w:type="paragraph" w:customStyle="1" w:styleId="A7AD8FA99A2D4046904D7A5BC60DC578">
    <w:name w:val="A7AD8FA99A2D4046904D7A5BC60DC578"/>
    <w:rsid w:val="00DD36FA"/>
    <w:pPr>
      <w:bidi/>
    </w:pPr>
  </w:style>
  <w:style w:type="paragraph" w:customStyle="1" w:styleId="EC9AB8C9A2EE4AD585F7DFF325FD3365">
    <w:name w:val="EC9AB8C9A2EE4AD585F7DFF325FD3365"/>
    <w:rsid w:val="00DD36FA"/>
    <w:pPr>
      <w:bidi/>
    </w:pPr>
  </w:style>
  <w:style w:type="paragraph" w:customStyle="1" w:styleId="6ED11F19850A4D5DBDBFF7F058DAFBD4">
    <w:name w:val="6ED11F19850A4D5DBDBFF7F058DAFBD4"/>
    <w:rsid w:val="00DD36FA"/>
    <w:pPr>
      <w:bidi/>
    </w:pPr>
  </w:style>
  <w:style w:type="paragraph" w:customStyle="1" w:styleId="6A261417E5974C8C8934D3911D63F21C">
    <w:name w:val="6A261417E5974C8C8934D3911D63F21C"/>
    <w:rsid w:val="00DD36FA"/>
    <w:pPr>
      <w:bidi/>
    </w:pPr>
  </w:style>
  <w:style w:type="paragraph" w:customStyle="1" w:styleId="B8E1CD0BCBAF4E5EAC8CB317047A8CE5">
    <w:name w:val="B8E1CD0BCBAF4E5EAC8CB317047A8CE5"/>
    <w:rsid w:val="00DD36FA"/>
    <w:pPr>
      <w:bidi/>
    </w:pPr>
  </w:style>
  <w:style w:type="paragraph" w:customStyle="1" w:styleId="36F1275F59A24F4B83E3EAEDB8492079">
    <w:name w:val="36F1275F59A24F4B83E3EAEDB8492079"/>
    <w:rsid w:val="00DD36FA"/>
    <w:pPr>
      <w:bidi/>
    </w:pPr>
  </w:style>
  <w:style w:type="paragraph" w:customStyle="1" w:styleId="F7716BE313F143D8AA8257098675A3E3">
    <w:name w:val="F7716BE313F143D8AA8257098675A3E3"/>
    <w:rsid w:val="00DD36FA"/>
    <w:pPr>
      <w:bidi/>
    </w:pPr>
  </w:style>
  <w:style w:type="paragraph" w:customStyle="1" w:styleId="C808E2DFB45F482CBFD9EBB0C5213E83">
    <w:name w:val="C808E2DFB45F482CBFD9EBB0C5213E83"/>
    <w:rsid w:val="00DD36FA"/>
    <w:pPr>
      <w:bidi/>
    </w:pPr>
  </w:style>
  <w:style w:type="paragraph" w:customStyle="1" w:styleId="4435D3A963AC4A0C8DCA346E72CD646B">
    <w:name w:val="4435D3A963AC4A0C8DCA346E72CD646B"/>
    <w:rsid w:val="00DD36FA"/>
    <w:pPr>
      <w:bidi/>
    </w:pPr>
  </w:style>
  <w:style w:type="paragraph" w:customStyle="1" w:styleId="2C4FEBE98DF74C10826643CF49BFAFC4">
    <w:name w:val="2C4FEBE98DF74C10826643CF49BFAFC4"/>
    <w:rsid w:val="00DD36FA"/>
    <w:pPr>
      <w:bidi/>
    </w:pPr>
  </w:style>
  <w:style w:type="paragraph" w:customStyle="1" w:styleId="15A756A7156042C1B875B9C2D98E8164">
    <w:name w:val="15A756A7156042C1B875B9C2D98E8164"/>
    <w:rsid w:val="00DD36FA"/>
    <w:pPr>
      <w:bidi/>
    </w:pPr>
  </w:style>
  <w:style w:type="paragraph" w:customStyle="1" w:styleId="58502088338B44AB86B237467D72940F">
    <w:name w:val="58502088338B44AB86B237467D72940F"/>
    <w:rsid w:val="00DD36FA"/>
    <w:pPr>
      <w:bidi/>
    </w:pPr>
  </w:style>
  <w:style w:type="paragraph" w:customStyle="1" w:styleId="B7125CAFFF8041FC948651E08EBF9887">
    <w:name w:val="B7125CAFFF8041FC948651E08EBF9887"/>
    <w:rsid w:val="00DD36FA"/>
    <w:pPr>
      <w:bidi/>
    </w:pPr>
  </w:style>
  <w:style w:type="paragraph" w:customStyle="1" w:styleId="E51C734CCB2F45F98080FC6FB9ECAE5D">
    <w:name w:val="E51C734CCB2F45F98080FC6FB9ECAE5D"/>
    <w:rsid w:val="00DD36FA"/>
    <w:pPr>
      <w:bidi/>
    </w:pPr>
  </w:style>
  <w:style w:type="paragraph" w:customStyle="1" w:styleId="6913DB4DC75F49E29AFA317EA23380C4">
    <w:name w:val="6913DB4DC75F49E29AFA317EA23380C4"/>
    <w:rsid w:val="00DD36FA"/>
    <w:pPr>
      <w:bidi/>
    </w:pPr>
  </w:style>
  <w:style w:type="paragraph" w:customStyle="1" w:styleId="C898348EFED74CF9A69316F9BC056DD0">
    <w:name w:val="C898348EFED74CF9A69316F9BC056DD0"/>
    <w:rsid w:val="00DD36FA"/>
    <w:pPr>
      <w:bidi/>
    </w:pPr>
  </w:style>
  <w:style w:type="paragraph" w:customStyle="1" w:styleId="3F0D25BFEA2A43479F179023A93E6D2D">
    <w:name w:val="3F0D25BFEA2A43479F179023A93E6D2D"/>
    <w:rsid w:val="00DD36F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915</Words>
  <Characters>4578</Characters>
  <Application>Microsoft Office Word</Application>
  <DocSecurity>0</DocSecurity>
  <Lines>38</Lines>
  <Paragraphs>10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רותם כהן</cp:lastModifiedBy>
  <cp:revision>2</cp:revision>
  <dcterms:created xsi:type="dcterms:W3CDTF">2024-07-11T05:02:00Z</dcterms:created>
  <dcterms:modified xsi:type="dcterms:W3CDTF">2024-07-11T05:02:00Z</dcterms:modified>
</cp:coreProperties>
</file>